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Лечебное дело (ПП)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Лечебное дело (ПП) | Записей: 1 | Кейс: 1 | Вопросов: 12</w:t>
      </w:r>
    </w:p>
    <w:p>
      <w:r>
        <w:br w:type="page"/>
      </w:r>
    </w:p>
    <w:p>
      <w:pPr>
        <w:pStyle w:val="Heading1"/>
      </w:pPr>
      <w:r>
        <w:t>Лечебное дело (ПП)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Лечебное дело (ПП)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Больная Т., 75 лет, пенсионерка, обратилась к участковому терапевту.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*</w:t>
        <w:tab/>
        <w:t>на одышку и боли за грудиной сжимающего характера, возникающие при обычной физической нагрузке, проходящие в покое,</w:t>
        <w:br/>
        <w:t>*</w:t>
        <w:tab/>
        <w:t>слабость, повышенную утомляемость,</w:t>
        <w:br/>
        <w:t>*</w:t>
        <w:tab/>
        <w:t>боли в эпигастрии после еды, уменьшающиеся после приема антацидных препаратов,</w:t>
        <w:br/>
        <w:t>*</w:t>
        <w:tab/>
        <w:t>повышение АД несмотря на медикаментозную терапию.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Около 30 лет отмечает повышение АД максимально до 170/90 мм рт.ст., по поводу чего был назначен капотен, от приема которого пациентка в последующем вынуждена была отказаться в связи с развившимся отеком Квинке. Около 20 лет назад впервые появились эпизоды сжимающих болей за грудиной в ответ на нагрузку. Наблюдалась у кардиолога, выполняла рекомендации, однако постепенно снизилась толерантность к нагрузке. В настоящее время получает валсартан 80 мг 2 р/д, бисопролол 2,5 мг утром, розувастатин 20 мг вечером, аспирин 75 мг вечером. Также в течение длительного времени отмечает появление болей в области эпигастрия, возникающих через 30-50 мин после приема пищи, особенно острой, уменьшающихся после приема альмагеля. Со слов больной, полгода назад было рекомендовано обследование: серологическая диагностика на _Helicobacter pylori_ с последующим решением вопроса о проведении стандартной трехкомпонентной эрадикационной терапии. От обследования и дальнейшего лечения пациентка отказалась, принимала только антациды «по требованию». Настоящее ухудшение около 2-х недель, когда участились боли в эпигастрии, усилилась изжога.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</w:t>
        <w:tab/>
        <w:t>Росла и развивалась нормально.</w:t>
        <w:br/>
        <w:t>*</w:t>
        <w:tab/>
        <w:t>Работала стоматологом, в настоящее время на пенсии.</w:t>
        <w:br/>
        <w:t>*</w:t>
        <w:tab/>
        <w:t>Вредные привычки отрицает.</w:t>
        <w:br/>
        <w:t>*      Аллергологический анамнез: отек Квинке на прием капотена.</w:t>
        <w:br/>
        <w:t>*</w:t>
        <w:tab/>
        <w:t>Семейный анамнез: Отец больной умер в возрасте 52 лет от заболевания сердца. Мать страдала ГБ, умерла в 60 лет от ОССН.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средней тяжести. Рост 170 см, вес 94 кг, ИМТ 32,5 кг/м2. Кожные покровы бледные. Симметричные отеки стоп, голеностопных суставов. T тела 36,20С. Грудная клетка цилиндрической формы, симметричная. ЧДД 22 в минуту. При сравнительной перкуссии в симметричных участках грудной клетки определяется легочный звук с притуплением с двух сторон ниже углов лопаток. При аускультации над легкими выслушивается жесткое дыхание, ослабленное в нижних отделах, хрипов нет. Границы относительной тупости сердца: правая - по правому краю грудины, левая - в V межреберье по передне-подмышечной линии, верхняя – по верхнему краю III ребра. При аускультации сердца тоны ослаблены, ритмичные. ЧСС - 70 ударов в минуту. АД - 160/85 мм рт.ст. Пульс 70 ударов в минуту. Живот мягкий, чувствительный при пальпации в эпигастрии, там же – положительный симптом Менделя. Живот умеренно вздут по ходу толстого кишечника. Размеры печени: 10x9x8 см. Область почек не изменена. Почки не пальпируются. Диурез в норме. Отмечает склонность к запорам.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Необходимыми для постановки диагноза лабораторными методами обследования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клинический анализ крови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анализ крови на АТ к _H.influenzae_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дыхательный уреазный тест на _H.pylori_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определение титра AMA-М2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общий анализ мочи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проба Зимницкого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клинический анализ крови; дыхательный уреазный тест на _H.pylori_</w:t>
      </w:r>
    </w:p>
    <w:p>
      <w:pPr>
        <w:ind w:left="504"/>
      </w:pPr>
      <w:r>
        <w:rPr>
          <w:b w:val="0"/>
          <w:i/>
        </w:rPr>
        <w:t>Всем пациентам для исключения сопутствующей патологии и определения тактики лечения ХСН рекомендуется проведение общего (клинического) анализа крови (исследование уровня эритроцитов, тромбоцитов, лейкоцитов в крови, оценка гематокрита).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Хроническая сердечная недостаточность, 2024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Инфекция _H. pylori_  признана независимым фактором риска образования язв при приеме НПВС.</w:t>
        <w:br/>
        <w:br/>
        <w:t>Внутренние болезни : учебник : в 2 т. / под ред. А. И. Мартынова, Ж. Д. Кобалава, С. В. Моисеева. - 4-е изд., перераб. - Москва : ГЭОТАР-Медиа, 2021. - Т. II. - 704 с. : ил. - DOI: 10.33029/9704-5887-7-VNB-2021-1-704. - ISBN 978-5-9704-5887-7.</w:t>
        <w:br/>
        <w:br/>
      </w:r>
      <w:hyperlink r:id="rId11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Всем пациентам c подозрением на гастрит для первичной диагностики _H. pylori_ рекомендуется назначать референсные методы диагностики инфекции _H. pylori_ - дыхательный тест с мочевиной, меченной 13С (13С-уреазный дыхательный тест на _Helicobacter pylori_), и моноклональное определение антигена _H. pylori_ в кале лабораторным способом.</w:t>
        <w:br/>
        <w:br/>
      </w:r>
      <w:hyperlink r:id="rId12">
        <w:r>
          <w:rPr>
            <w:color w:val="0F766E"/>
            <w:u w:val="single"/>
          </w:rPr>
          <w:t>Клинические рекомендации Минздрава России. Гастрит и дуоденит, 2024 г.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Необходимыми для постановки диагноза инструментальными методами обследования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бронхоскопия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обзорная рентгенография брюшной полости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УЗИ органов брюшной полости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ЭКГ в покое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ФВД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ЭГДС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ЭКГ в покое; ЭГДС</w:t>
      </w:r>
    </w:p>
    <w:p>
      <w:pPr>
        <w:ind w:left="504"/>
      </w:pPr>
      <w:r>
        <w:rPr>
          <w:b w:val="0"/>
          <w:i/>
        </w:rPr>
        <w:t>Регистрация 12-канальной электрокардиограммы (ЭКГ) в покое и расшифровка, описание и интерпретация электрокардиографических данных рекомендована всем пациентам с подозрением на ИБС для выявления признаков ишемии в покое (в том числе, безболевой ишемии миокарда), а также возможного наличия зубца Q, сопутствующих нарушений ритма и проводимости сердца.</w:t>
        <w:br/>
        <w:br/>
      </w:r>
      <w:hyperlink r:id="rId14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Всем пациентам c ХСН рекомендуется выполнение 12-канальной ЭКГ с оценкой сердечного ритма, частоты сердечных сокращений (ЧСС), морфологии и продолжительности QRS, наличия нарушений АВ и желудочковой проводимости (блокада левой ножки пучка Гиса (БЛНПГ), блокада правой ножки пучка Гиса (БПНПГ)), рубцового поражения миокарда, гипертрофии миокарда). Диагноз ХСН маловероятен при наличии абсолютно нормальной ЭКГ.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Хроническая сердечная недостаточность, 2024 г.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Методы диагностики хронического гастрита:</w:t>
        <w:br/>
        <w:br/>
        <w:t>* эндоскопический с обязательной морфологической оценкой 5 биоптатов</w:t>
        <w:br/>
        <w:t>* диагностика _Helicobacter pylori_</w:t>
        <w:br/>
        <w:t>* определение кислотообразующей функции желудка (внутрижелудочная рН-метрия)</w:t>
        <w:br/>
        <w:t>* рентгенологический.</w:t>
        <w:br/>
        <w:br/>
        <w:t>Показания к проведению эндоскопического исследования органов ЖКТ включают: наличие клинических признаков заболевания органов пищеварения, необходимость дифференциальной диагностики, контроль эффективности терапии. Пациентам из групп риска эндоскопическое исследование необходимо проводить в рамках скрининговых профилактических осмотров. При этом оценивают эндоскопические и морфологические изменения. При локализации язвы в желудке в обязательном порядке проводят биопсию с последующим гистологическим исследованием полученного материала, что позволяет исключить злокачественный характер язвенного поражения.</w:t>
        <w:br/>
        <w:br/>
        <w:t>Палевская, С. А. Эндоскопия желудочно-кишечного тракта / С. А. Палевская, А. Г. Короткевич. - 2-е изд. , перераб. и доп. - Москва : ГЭОТАР-Медиа, 2022. - 752 с. - ISBN 978-5-9704-7751-9.</w:t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Предполагаемым основным диагнозом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Хронический калькулезный панкреатит.</w:t>
        <w:br/>
        <w:t>Гипертоническая болезнь III ст., 2 ст., риск ССО очень высокий. ХСН, 1 ФК NYHA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ИБС: Постинфарктный кардиосклероз (ОИМ неизвестной давности).</w:t>
        <w:br/>
        <w:t>Гипертоническая болезнь I ст., 2 ст., риск ССО средний. ХСН, III ФК NYHA.</w:t>
        <w:br/>
        <w:t>НПВС-гастропатия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ИБС: стенокардия напряжения II ФК. Гипертоническая болезнь III ст., неконтролируемая АГ, риск ССО очень высокий. ХСН, II ФК NYHA. Хронический _Н.рylory_ – ассоциированный гастрит. Ожирение 1 ст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ИБС: стенокардия напряжения III ФК. Гипертоническая болезнь III ст., 3 ст., риск ССО высокий. Хронический атрофический гастрит. Хронический калькулезный холецистит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ИБС: стенокардия напряжения II ФК. Гипертоническая болезнь III ст., неконтролируемая АГ, риск ССО очень высокий. ХСН, II ФК NYHA. Хронический _Н.рylory_ – ассоциированный гастрит. Ожирение 1 ст</w:t>
      </w:r>
    </w:p>
    <w:p>
      <w:pPr>
        <w:ind w:left="504"/>
      </w:pPr>
      <w:r>
        <w:rPr>
          <w:b w:val="0"/>
          <w:i/>
        </w:rPr>
        <w:t>У больной имеются анамнестические данные о предшествующей АГ (с учетом типичного возраста начала заболевания, ФР, наиболее вероятна гипертоническая болезнь), повышение АД до 160/90 мм рт.ст. на фоне комбинированной антигипертензивной терапии– критерий АГ, очень высокого риска.</w:t>
        <w:br/>
        <w:br/>
      </w:r>
      <w:hyperlink r:id="rId18">
        <w:r>
          <w:rPr>
            <w:color w:val="0F766E"/>
            <w:u w:val="single"/>
          </w:rPr>
          <w:t>Клинические рекомендации Минздрава России. Артериальная гипертензия у взрослых, 2024 г.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т.к. имеются ассоциированные клинические состояния – ИБС, проявляющаяся типичными ангинозными приступами при уровне физической нагрузки</w:t>
        <w:br/>
        <w:br/>
      </w:r>
      <w:hyperlink r:id="rId14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соответствующей II ФК.</w:t>
        <w:br/>
        <w:br/>
      </w:r>
      <w:hyperlink r:id="rId21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  <w:t>и ХСН, проявляющаяся в покое признаками застоя по большому и малому кругам кровообращения, что соответствует IIБ ст.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Хроническая сердечная недостаточность, 2024 г.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С помощью ЭГДС и дыхательного уреазного теста определен диагноз хронического гастрита. В контексте длительного приема НПВП по поводу ИБС у данной пациентки нельзя исключить роль НПВП в развитии хронического гастрита.</w:t>
        <w:br/>
        <w:br/>
      </w:r>
      <w:hyperlink r:id="rId12">
        <w:r>
          <w:rPr>
            <w:color w:val="0F766E"/>
            <w:u w:val="single"/>
          </w:rPr>
          <w:t>Клинические рекомендации Минздрава России. Гастрит и дуоденит, 2024 г.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По результатам эхокардиографии пациентка имеет ФВ ЛЖ 45%, что соответствует ХСН с +__________________+ фракцией выброса левого желудочка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улучшенной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низкой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умеренно сниженной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сохраненной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умеренно сниженной</w:t>
      </w:r>
    </w:p>
    <w:p>
      <w:pPr>
        <w:ind w:left="504"/>
      </w:pPr>
      <w:r>
        <w:rPr>
          <w:b w:val="0"/>
          <w:i/>
        </w:rPr>
        <w:t>ХСН с умеренно сниженной ФВ – характерно умеренное снижение сократительной способности ЛЖ, ФВ ЛЖ = 41-49% 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Хроническая сердечная недостаточность, 2024 г.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В схему первой линии эрадикации _H. pylori_, наряду с ингибиторами протоновой помпы, входят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кларитромицин, амоксициллин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препарат висмута, цефиксим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амоксициллин, кларитромицин и висмута трикалия дицитрат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левофлоксацин, метронидазол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амоксициллин, кларитромицин и висмута трикалия дицитрат</w:t>
      </w:r>
    </w:p>
    <w:p>
      <w:pPr>
        <w:ind w:left="504"/>
      </w:pPr>
      <w:r>
        <w:rPr>
          <w:b w:val="0"/>
          <w:i/>
        </w:rPr>
        <w:t>Всем пациентам гастритом с положительными результатами тестирования на инфекцию _H.рylori_ и показаниями для проведения эрадикационной терапии в качестве эрадикационной терапии первой линии, обеспечивающий высокий процент эрадикации инфекции, рекомендуется назначить по выбору:</w:t>
        <w:br/>
        <w:br/>
        <w:t>- стандартную тройную терапию, включающую ИПН (в стандартной дозе 2 раза в сутки), кларитромицин</w:t>
        <w:br/>
        <w:t>(500 мг 2 раза в сутки) и амоксициллин (1000 мг 2 раза в сутки внутрь), усиленную висмута трикалия дицитратом (120 мг 4 раза в день или 240 мг 2 раза в день) на 14 дней</w:t>
        <w:br/>
        <w:br/>
        <w:t>или</w:t>
        <w:br/>
        <w:br/>
        <w:t>- классическую четырехкомпонентную терапия с висмутом трикалия дицитратом (120 мг 4 раза в сутки) в сочетании с ИПН (в стандартной дозе 2 раза в сутки), тетрациклином (500 мг 4 раза в сутки внутрь) и метронидазолом (500 мг 3 раза в сутки) на 14 дней</w:t>
        <w:br/>
        <w:br/>
        <w:t>или</w:t>
        <w:br/>
        <w:br/>
        <w:t>- квадротерапию без препаратов висмута, которая включает стандартную тройную терапию (ИПН в стандартной дозе 2 раза в сутки), амоксициллин (в дозе 1000 мг 2 раза в сутки внутрь), кларитромицин (500 мг 2 раза в сутки), усиленную метронидазолом (500 мг 3 раза в сутки) на 14 дней</w:t>
        <w:br/>
        <w:br/>
      </w:r>
      <w:hyperlink r:id="rId12">
        <w:r>
          <w:rPr>
            <w:color w:val="0F766E"/>
            <w:u w:val="single"/>
          </w:rPr>
          <w:t>Клинические рекомендации Минздрава России. Гастрит и дуоденит, 2024 г.</w:t>
        </w:r>
      </w:hyperlink>
      <w:r>
        <w:rPr>
          <w:b w:val="0"/>
          <w:i/>
        </w:rPr>
        <w:br/>
        <w:br/>
      </w:r>
      <w:hyperlink r:id="rId2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Необходимость назначения блокатора ангиотензиновых рецепторов вместо иАПФ в качестве терапии «первой линии» у больной с ХСН могла быть обусловлена наличием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ангионевротического отека в анамнезе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хронического _Н.рylori_-ассоциированного гастрита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отягощенного по заболеваниям сердечно-сосудистой системы семейного анамнеза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глаукомы с повышением внутриглазного давления более 24 мм рт.ст.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ангионевротического отека в анамнезе</w:t>
      </w:r>
    </w:p>
    <w:p>
      <w:pPr>
        <w:ind w:left="504"/>
      </w:pPr>
      <w:r>
        <w:rPr>
          <w:b w:val="0"/>
          <w:i/>
        </w:rPr>
        <w:t>Применение АРА рекомендуется пациентам с ХСНнФВ только в случае непереносимости валсартана+сакубитрила/иАПФ для снижения риска госпитализации из-за ХСН и смерти.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Хроническая сердечная недостаточность, 2024 г.</w:t>
        </w:r>
      </w:hyperlink>
      <w:r>
        <w:rPr>
          <w:b w:val="0"/>
          <w:i/>
        </w:rPr>
        <w:br/>
        <w:br/>
      </w:r>
      <w:hyperlink r:id="rId26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Под «непереносимостью» иАПФ следует понимать: наличие индивидуальной непереносимости (аллергии), развитие ангионевротического отека, кашля. Нарушение функции почек, развитие гиперкалиемии и гипотонии при лечении иАПФ в понятие «непереносимость» не входит и может наблюдаться у пациентов с ХСН с одинаковой частотой как при применении иАПФ, так и АРА.</w:t>
        <w:br/>
        <w:br/>
      </w:r>
      <w:hyperlink r:id="rId18">
        <w:r>
          <w:rPr>
            <w:color w:val="0F766E"/>
            <w:u w:val="single"/>
          </w:rPr>
          <w:t>Клинические рекомендации Минздрава России. Артериальная гипертензия у взрослых, 2024 г.</w:t>
        </w:r>
      </w:hyperlink>
      <w:r>
        <w:rPr>
          <w:b w:val="0"/>
          <w:i/>
        </w:rPr>
        <w:br/>
        <w:br/>
      </w:r>
      <w:hyperlink r:id="rId2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Стратегия снижения веса у больной с ожирением 1 ст. (ИМТ 32,5 кг/м2) должна заключаться в рекомендации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соблюдения разгрузочных дней, регулярных физических нагрузок (4 раза в неделю по 1,5 часа)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использования методов бариатрической хирургии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дозированных, тщательно спланированных физических аэробных нагрузок и диеты с ограничением животных жиров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использования диеты Аткинса при сохранении малоподвижного образа жизни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дозированных, тщательно спланированных физических аэробных нагрузок и диеты с ограничением животных жиров</w:t>
      </w:r>
    </w:p>
    <w:p>
      <w:pPr>
        <w:ind w:left="504"/>
      </w:pPr>
      <w:r>
        <w:rPr>
          <w:b w:val="0"/>
          <w:i/>
        </w:rPr>
        <w:t>При выявлении избыточной массы тела рекомендуется ее снижение с помощью дозированных физических нагрузок и низкокалорийной диеты. При необходимости рекомендуется направить пациента к врачу-диетологу для коррекции диеты и/или подбора медикаментозного лечения ожирения.</w:t>
        <w:br/>
        <w:br/>
      </w:r>
      <w:hyperlink r:id="rId14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28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29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Целевым показателем липидограммы при применении статинов у больной с ИБС является +_____________+ ммоль/л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ХС-ЛВП более 2,5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ХС-ЛВП менее 1,8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ХС-ЛНП менее 1,8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ХС-ЛНП менее 1,4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ХС-ЛНП менее 1,4</w:t>
      </w:r>
    </w:p>
    <w:p>
      <w:pPr>
        <w:ind w:left="504"/>
      </w:pPr>
      <w:r>
        <w:rPr>
          <w:b w:val="0"/>
          <w:i/>
        </w:rPr>
        <w:t>Целями лечения у пациентов очень высокого риска является уровень ХС-ЛНП менее 1,4 ммоль/л.</w:t>
        <w:br/>
        <w:br/>
      </w:r>
      <w:hyperlink r:id="rId14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3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Основными целями медикаментозного лечения ИБС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снижение и удержание веса и нормализация уровня липидов крови для уменьшения размеров атеросклеротических бляшек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поддержание артериального давления в пределах целевых значений, профилактика тромбоэмболических осложнений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устранение симптомов стенокардии и предотвращение неблагоприятных сердечно-сосудистых событий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регрессирование явлений хронической болезни почек (целевая СКФ &gt;60 мл/мин/1,73м2) и уменьшение отечного синдрома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устранение симптомов стенокардии и предотвращение неблагоприятных сердечно-сосудистых событий</w:t>
      </w:r>
    </w:p>
    <w:p>
      <w:pPr>
        <w:ind w:left="504"/>
      </w:pPr>
      <w:r>
        <w:rPr>
          <w:b w:val="0"/>
          <w:i/>
        </w:rPr>
        <w:t>Фармакологическое лечение у пациентов с ИБС преследует две основные цели: устранение симптомов и предотвращение сердечно-сосудистых событий.</w:t>
        <w:br/>
        <w:br/>
      </w:r>
      <w:hyperlink r:id="rId14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3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Независимым фактором риска образования язв при приеме НПВС у больной является наличие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ожирения 1 ст.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отягощенного по сердечно-сосудистым заболеваниям семейного анамнеза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_H. pylori_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артериальной гипертензии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_H. pylori_</w:t>
      </w:r>
    </w:p>
    <w:p>
      <w:pPr>
        <w:ind w:left="504"/>
      </w:pPr>
      <w:r>
        <w:rPr>
          <w:b w:val="0"/>
          <w:i/>
        </w:rPr>
        <w:t>Инфекция _H. pylori_  признана независимым фактором риска образования язв при приеме НПВС.</w:t>
        <w:br/>
        <w:br/>
        <w:t>Внутренние болезни : учебник : в 2 т. / под ред. А. И. Мартынова, Ж. Д. Кобалава, С. В. Моисеева. - 4-е изд., перераб. - Москва : ГЭОТАР-Медиа, 2021. - Т. II. - 704 с. : ил. - DOI: 10.33029/9704-5887-7-VNB-2021-1-704. - ISBN 978-5-9704-5887-7.</w:t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Для защиты слизистой желудка и профилактики желудочно-кишечных кровотечений больной, принимающей препараты ацетилсалициловой кислоты,  рекомендуется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соблюдение строгой щадящей диеты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дополнительное использование алюминий-содержащих антацидов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применять аспирин в форме «шипучих» растворимых таблеток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прием ингибиторов протоновой помпы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прием ингибиторов протоновой помпы</w:t>
      </w:r>
    </w:p>
    <w:p>
      <w:pPr>
        <w:ind w:left="504"/>
      </w:pPr>
      <w:r>
        <w:rPr>
          <w:b w:val="0"/>
          <w:i/>
        </w:rPr>
        <w:t>У пациентов со стабильной ИБС с высоким риском кровотечений из ЖКТ или при наличии кровотечения ЖКТ в анамнезе, получающих АСК или комбинацию нескольких антитромботических средств, для защиты слизистой желудка и профилактики желудочно-кишечных кровотечений рекомендуется использовать ингибиторы протонового насоса (по показанию - профилактика эрозивно-язвенных поражений желудка и двенадцатиперстной кишки, связанных с приемом нестероидных противовоспалительных препаратов.</w:t>
        <w:br/>
        <w:br/>
      </w:r>
      <w:hyperlink r:id="rId14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3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Применение ингибиторов протонового насоса рекомендуется всем пациентам, получающим тройную антитромботическую терапию, а также у пациентов с повышенным риском желудочно-кишечных кровотечений (язвенная болезнь или желудочно-кишечное кровотечение в анамнезе, хроническое использование нестероидных противовоспалительных средств или кортикостероидов, как минимум 2 из следующих признаков - возраст ³65 лет, диспепсия, желудочно-пищеводный рефлюкс, инфицирование _Helicobacter Pylori_, хроническое употребление алкоголя.</w:t>
        <w:br/>
        <w:br/>
      </w:r>
      <w:hyperlink r:id="rId33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  <w:t>У пациента есть 2 ФР – возраст и инфицирование _Helicobacter Pylori_</w:t>
      </w:r>
    </w:p>
    <w:p>
      <w:pPr>
        <w:pStyle w:val="Heading2"/>
      </w:pPr>
      <w:r>
        <w:t>5. Лечение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У пациентки с основным диагнозом ишемической болезни сердца обязательными для приема препаратами,  наряду с бета-адреноблокаторами и антиагрегантами,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статины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ингибиторы АПФ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диуретики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блокаторы рецепторов ангиотензина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статины</w:t>
      </w:r>
    </w:p>
    <w:p>
      <w:pPr>
        <w:ind w:left="504"/>
      </w:pPr>
      <w:r>
        <w:rPr>
          <w:b w:val="0"/>
          <w:i/>
        </w:rPr>
        <w:t>Все пациенты с хронической ИБС относятся к категории лиц очень высокого риска, поэтому для профилактики ССО им всем рекомендуется коррекция дислипидемии с использованием мероприятий по здоровому образу жизни и оптимальной медикаментозной терапии для профилактики ССО.</w:t>
        <w:br/>
        <w:br/>
      </w:r>
      <w:hyperlink r:id="rId14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34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Для профилактики ССО всем пациентам со стабильной ИБС рекомендуется назначить ингибиторы ГМГ-КоА-редуктазы (статины) в максимально переносимой дозировке до достижения целевого уровня ХсЛНП (&lt;1,4 ммоль/л) и его снижения на 50% от исходного уровня.</w:t>
        <w:br/>
        <w:br/>
      </w:r>
      <w:hyperlink r:id="rId30">
        <w:r>
          <w:rPr>
            <w:color w:val="0F766E"/>
            <w:u w:val="single"/>
          </w:rPr>
          <w:t>(2)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KP156_24/" TargetMode="External"/><Relationship Id="rId10" Type="http://schemas.openxmlformats.org/officeDocument/2006/relationships/hyperlink" Target="https://library.mededtech.ru/rest/documents/KP156_24/#list_item_3dh5re" TargetMode="External"/><Relationship Id="rId11" Type="http://schemas.openxmlformats.org/officeDocument/2006/relationships/hyperlink" Target="https://library.mededtech.ru/rest/documents/ISBN9785970458877/?anchor=paragraph_imjb6o#paragraph_imjb6o" TargetMode="External"/><Relationship Id="rId12" Type="http://schemas.openxmlformats.org/officeDocument/2006/relationships/hyperlink" Target="https://library.mededtech.ru/rest/documents/KP708_2/" TargetMode="External"/><Relationship Id="rId13" Type="http://schemas.openxmlformats.org/officeDocument/2006/relationships/hyperlink" Target="https://library.mededtech.ru/rest/documents/KP708_2/#list_item_3m3d4q" TargetMode="External"/><Relationship Id="rId14" Type="http://schemas.openxmlformats.org/officeDocument/2006/relationships/hyperlink" Target="https://library.mededtech.ru/rest/documents/KP155_24/" TargetMode="External"/><Relationship Id="rId15" Type="http://schemas.openxmlformats.org/officeDocument/2006/relationships/hyperlink" Target="https://library.mededtech.ru/rest/documents/KP155_24/#list_item_udpfta" TargetMode="External"/><Relationship Id="rId16" Type="http://schemas.openxmlformats.org/officeDocument/2006/relationships/hyperlink" Target="https://library.mededtech.ru/rest/documents/KP156_24/#list_item_87dv8l" TargetMode="External"/><Relationship Id="rId17" Type="http://schemas.openxmlformats.org/officeDocument/2006/relationships/hyperlink" Target="https://library.mededtech.ru/rest/documents/ISBN9785970477519/?anchor=paragraph_7d19k3#paragraph_7d19k3" TargetMode="External"/><Relationship Id="rId18" Type="http://schemas.openxmlformats.org/officeDocument/2006/relationships/hyperlink" Target="https://library.mededtech.ru/rest/documents/KP62_24/" TargetMode="External"/><Relationship Id="rId19" Type="http://schemas.openxmlformats.org/officeDocument/2006/relationships/hyperlink" Target="https://library.mededtech.ru/rest/documents/KP62_24/#paragraph_mrpra3" TargetMode="External"/><Relationship Id="rId20" Type="http://schemas.openxmlformats.org/officeDocument/2006/relationships/hyperlink" Target="https://library.mededtech.ru/rest/documents/KP155_24/#paragraph_aa8j68" TargetMode="External"/><Relationship Id="rId21" Type="http://schemas.openxmlformats.org/officeDocument/2006/relationships/hyperlink" Target="https://library.mededtech.ru/rest/documents/KP155_24/#table&#1055;&#1040;3-1" TargetMode="External"/><Relationship Id="rId22" Type="http://schemas.openxmlformats.org/officeDocument/2006/relationships/hyperlink" Target="https://library.mededtech.ru/rest/documents/KP156_24/#paragraph_jfa315" TargetMode="External"/><Relationship Id="rId23" Type="http://schemas.openxmlformats.org/officeDocument/2006/relationships/hyperlink" Target="https://library.mededtech.ru/rest/documents/KP708_2/#paragraph_7jda8j" TargetMode="External"/><Relationship Id="rId24" Type="http://schemas.openxmlformats.org/officeDocument/2006/relationships/hyperlink" Target="https://library.mededtech.ru/rest/documents/KP156_24/#list_item_bbvqlk" TargetMode="External"/><Relationship Id="rId25" Type="http://schemas.openxmlformats.org/officeDocument/2006/relationships/hyperlink" Target="https://library.mededtech.ru/rest/documents/KP708_2/#paragraph_057qhk" TargetMode="External"/><Relationship Id="rId26" Type="http://schemas.openxmlformats.org/officeDocument/2006/relationships/hyperlink" Target="https://library.mededtech.ru/rest/documents/KP156_24/#list_item_m93t6l" TargetMode="External"/><Relationship Id="rId27" Type="http://schemas.openxmlformats.org/officeDocument/2006/relationships/hyperlink" Target="https://library.mededtech.ru/rest/documents/KP62_24/#tablep20" TargetMode="External"/><Relationship Id="rId28" Type="http://schemas.openxmlformats.org/officeDocument/2006/relationships/hyperlink" Target="https://library.mededtech.ru/rest/documents/KP155_24/#list_item_17637a" TargetMode="External"/><Relationship Id="rId29" Type="http://schemas.openxmlformats.org/officeDocument/2006/relationships/hyperlink" Target="https://library.mededtech.ru/rest/documents/KP155_24/#paragraph_7er0vq" TargetMode="External"/><Relationship Id="rId30" Type="http://schemas.openxmlformats.org/officeDocument/2006/relationships/hyperlink" Target="https://library.mededtech.ru/rest/documents/KP155_24/#list_item_mrogbv" TargetMode="External"/><Relationship Id="rId31" Type="http://schemas.openxmlformats.org/officeDocument/2006/relationships/hyperlink" Target="https://library.mededtech.ru/rest/documents/KP155_24/#paragraph_38e44c" TargetMode="External"/><Relationship Id="rId32" Type="http://schemas.openxmlformats.org/officeDocument/2006/relationships/hyperlink" Target="https://library.mededtech.ru/rest/documents/KP155_24/#list_item_ugtbeq" TargetMode="External"/><Relationship Id="rId33" Type="http://schemas.openxmlformats.org/officeDocument/2006/relationships/hyperlink" Target="https://library.mededtech.ru/rest/documents/KP155_24/#paragraph_o7mv13" TargetMode="External"/><Relationship Id="rId34" Type="http://schemas.openxmlformats.org/officeDocument/2006/relationships/hyperlink" Target="https://library.mededtech.ru/rest/documents/KP155_24/#list_item_k232v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